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895859" w:rsidRPr="00AE4E85" w14:paraId="2C4901B4" w14:textId="77777777" w:rsidTr="00E46158">
        <w:trPr>
          <w:trHeight w:val="1149"/>
        </w:trPr>
        <w:tc>
          <w:tcPr>
            <w:tcW w:w="9923" w:type="dxa"/>
            <w:vAlign w:val="center"/>
          </w:tcPr>
          <w:tbl>
            <w:tblPr>
              <w:tblW w:w="9721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21"/>
            </w:tblGrid>
            <w:tr w:rsidR="00895859" w:rsidRPr="00895859" w14:paraId="7B5548D0" w14:textId="77777777" w:rsidTr="00E46158">
              <w:trPr>
                <w:trHeight w:val="1149"/>
              </w:trPr>
              <w:tc>
                <w:tcPr>
                  <w:tcW w:w="9721" w:type="dxa"/>
                  <w:vAlign w:val="center"/>
                </w:tcPr>
                <w:p w14:paraId="5E609217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br w:type="page"/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br w:type="page"/>
                  </w:r>
                </w:p>
                <w:tbl>
                  <w:tblPr>
                    <w:tblW w:w="9626" w:type="dxa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6"/>
                  </w:tblGrid>
                  <w:tr w:rsidR="00895859" w:rsidRPr="00895859" w14:paraId="02A6566C" w14:textId="77777777" w:rsidTr="00E46158">
                    <w:trPr>
                      <w:trHeight w:val="1149"/>
                    </w:trPr>
                    <w:tc>
                      <w:tcPr>
                        <w:tcW w:w="9626" w:type="dxa"/>
                        <w:vAlign w:val="center"/>
                      </w:tcPr>
                      <w:p w14:paraId="39D1554C" w14:textId="0841E69E" w:rsidR="00895859" w:rsidRPr="00895859" w:rsidRDefault="00895859" w:rsidP="00895859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  <w:r w:rsidRPr="00895859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br w:type="page"/>
                        </w:r>
                        <w:r w:rsidRPr="00895859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br w:type="page"/>
                        </w:r>
                        <w:r w:rsidRPr="00895859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  <w:t>SCHEMA DI OFFERTA TECNICA INCENDIO PATRIMONIO DISPONIBILE</w:t>
                        </w:r>
                      </w:p>
                      <w:p w14:paraId="2EC20F64" w14:textId="77777777" w:rsidR="00895859" w:rsidRPr="00895859" w:rsidRDefault="00895859" w:rsidP="00895859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</w:p>
                      <w:p w14:paraId="65D52D71" w14:textId="77777777" w:rsidR="00895859" w:rsidRPr="00895859" w:rsidRDefault="00895859" w:rsidP="00895859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</w:pPr>
                        <w:r w:rsidRPr="00895859"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Il concorrente deve tassativamente barrare le voci di interesse.</w:t>
                        </w:r>
                      </w:p>
                      <w:p w14:paraId="3E3D3825" w14:textId="77777777" w:rsidR="00895859" w:rsidRPr="00895859" w:rsidRDefault="00895859" w:rsidP="00895859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</w:pPr>
                        <w:r w:rsidRPr="00895859">
                          <w:rPr>
                            <w:rFonts w:asciiTheme="majorHAnsi" w:hAnsiTheme="majorHAnsi" w:cstheme="majorHAnsi"/>
                            <w:b/>
                            <w:i/>
                            <w:iCs/>
                            <w:sz w:val="22"/>
                            <w:szCs w:val="22"/>
                            <w:u w:val="single"/>
                          </w:rPr>
                          <w:t>La valutazione tecnica verrà effettuata in base a quanto dichiarato nella presente scheda</w:t>
                        </w:r>
                      </w:p>
                      <w:p w14:paraId="4D9FB317" w14:textId="77777777" w:rsidR="00895859" w:rsidRPr="00895859" w:rsidRDefault="00895859" w:rsidP="00895859">
                        <w:pPr>
                          <w:spacing w:after="0" w:line="240" w:lineRule="auto"/>
                          <w:ind w:left="0" w:hanging="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24E1146" w14:textId="77777777" w:rsidR="00895859" w:rsidRPr="00895859" w:rsidRDefault="00895859" w:rsidP="00895859">
                  <w:pPr>
                    <w:pStyle w:val="Corpotesto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47F9926F" w14:textId="77777777" w:rsidR="00895859" w:rsidRPr="00895859" w:rsidRDefault="00895859" w:rsidP="00895859">
                  <w:pPr>
                    <w:pStyle w:val="Corpotesto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W w:w="9459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8"/>
                    <w:gridCol w:w="8196"/>
                    <w:gridCol w:w="25"/>
                  </w:tblGrid>
                  <w:tr w:rsidR="00895859" w:rsidRPr="00895859" w14:paraId="1C09EBB5" w14:textId="77777777" w:rsidTr="00E46158">
                    <w:trPr>
                      <w:gridAfter w:val="1"/>
                      <w:wAfter w:w="25" w:type="dxa"/>
                      <w:cantSplit/>
                      <w:trHeight w:val="1058"/>
                    </w:trPr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  <w:vAlign w:val="center"/>
                      </w:tcPr>
                      <w:p w14:paraId="4C737B4C" w14:textId="77777777" w:rsidR="00895859" w:rsidRPr="00895859" w:rsidRDefault="00895859" w:rsidP="00895859">
                        <w:pPr>
                          <w:pStyle w:val="Corpotesto"/>
                          <w:ind w:right="278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96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054DFDB0" w14:textId="77777777" w:rsidR="00895859" w:rsidRPr="00895859" w:rsidRDefault="00895859" w:rsidP="00895859">
                        <w:pPr>
                          <w:pStyle w:val="Corpotesto"/>
                          <w:ind w:left="344" w:right="-10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895859"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  <w:t xml:space="preserve">L’offerta è stata formulata </w:t>
                        </w:r>
                        <w:r w:rsidRPr="00895859"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  <w:u w:val="single"/>
                          </w:rPr>
                          <w:t xml:space="preserve">accettando </w:t>
                        </w:r>
                        <w:r w:rsidRPr="00895859">
                          <w:rPr>
                            <w:rFonts w:asciiTheme="majorHAnsi" w:hAnsiTheme="majorHAnsi" w:cstheme="majorHAnsi"/>
                            <w:sz w:val="22"/>
                            <w:szCs w:val="22"/>
                            <w:u w:val="single"/>
                            <w:lang w:eastAsia="it-IT"/>
                          </w:rPr>
                          <w:t>integralmente il Capitolato Tecnico così come proposto dalla Stazione appaltante</w:t>
                        </w:r>
                        <w:r w:rsidRPr="00895859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895859" w:rsidRPr="00895859" w14:paraId="10F03301" w14:textId="77777777" w:rsidTr="00E46158">
                    <w:trPr>
                      <w:cantSplit/>
                      <w:trHeight w:val="690"/>
                    </w:trPr>
                    <w:tc>
                      <w:tcPr>
                        <w:tcW w:w="1238" w:type="dxa"/>
                        <w:tcBorders>
                          <w:bottom w:val="single" w:sz="4" w:space="0" w:color="auto"/>
                        </w:tcBorders>
                        <w:shd w:val="pct5" w:color="auto" w:fill="auto"/>
                        <w:vAlign w:val="center"/>
                      </w:tcPr>
                      <w:p w14:paraId="43A43D05" w14:textId="77777777" w:rsidR="00895859" w:rsidRPr="00895859" w:rsidRDefault="00895859" w:rsidP="00895859">
                        <w:pPr>
                          <w:pStyle w:val="Corpotesto"/>
                          <w:ind w:right="278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22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0EC5C07C" w14:textId="77777777" w:rsidR="00895859" w:rsidRPr="00895859" w:rsidRDefault="00895859" w:rsidP="00895859">
                        <w:pPr>
                          <w:pStyle w:val="Corpotesto"/>
                          <w:ind w:left="290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</w:pPr>
                      </w:p>
                      <w:p w14:paraId="53761C74" w14:textId="77777777" w:rsidR="00895859" w:rsidRPr="00895859" w:rsidRDefault="00895859" w:rsidP="00895859">
                        <w:pPr>
                          <w:pStyle w:val="Corpotesto"/>
                          <w:ind w:left="290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895859"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</w:rPr>
                          <w:t xml:space="preserve">L’offerta è stata formulata </w:t>
                        </w:r>
                        <w:r w:rsidRPr="00895859"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  <w:u w:val="single"/>
                          </w:rPr>
                          <w:t>apportando le seguenti varianti libere (</w:t>
                        </w:r>
                        <w:r w:rsidRPr="00895859">
                          <w:rPr>
                            <w:rFonts w:asciiTheme="majorHAnsi" w:hAnsiTheme="majorHAnsi" w:cstheme="majorHAnsi"/>
                            <w:b/>
                            <w:sz w:val="22"/>
                            <w:szCs w:val="22"/>
                            <w:u w:val="single"/>
                          </w:rPr>
                          <w:t>massimo 10</w:t>
                        </w:r>
                        <w:r w:rsidRPr="00895859">
                          <w:rPr>
                            <w:rFonts w:asciiTheme="majorHAnsi" w:hAnsiTheme="majorHAnsi" w:cstheme="majorHAnsi"/>
                            <w:bCs/>
                            <w:sz w:val="22"/>
                            <w:szCs w:val="22"/>
                            <w:u w:val="single"/>
                          </w:rPr>
                          <w:t>)</w:t>
                        </w:r>
                        <w:r w:rsidRPr="00895859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52E6BF3" w14:textId="77777777" w:rsidR="00895859" w:rsidRPr="00895859" w:rsidRDefault="00895859" w:rsidP="00895859">
                        <w:pPr>
                          <w:pStyle w:val="Corpotesto"/>
                          <w:ind w:left="290"/>
                          <w:jc w:val="left"/>
                          <w:textDirection w:val="btLr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9E16C3A" w14:textId="77777777" w:rsidR="00895859" w:rsidRPr="00895859" w:rsidRDefault="00895859" w:rsidP="00895859">
                  <w:pPr>
                    <w:pStyle w:val="Corpotesto"/>
                    <w:ind w:left="180" w:right="278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14:paraId="55C0B69E" w14:textId="3C90BB9E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1)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5D2ABF50" w14:textId="32D5023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2)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4BFA39D4" w14:textId="43806C15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3)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598944B8" w14:textId="08C69765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4)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021E245C" w14:textId="3C467AD6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5)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596584E8" w14:textId="5ADDEC75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6)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26A8ADEC" w14:textId="7A2002DE" w:rsidR="00895859" w:rsidRPr="00895859" w:rsidRDefault="00895859" w:rsidP="00895859">
                  <w:pPr>
                    <w:widowControl w:val="0"/>
                    <w:spacing w:after="0" w:line="240" w:lineRule="auto"/>
                    <w:ind w:left="0" w:hanging="2"/>
                    <w:outlineLvl w:val="1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7)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__________________________________________________________________________________</w:t>
                  </w:r>
                </w:p>
                <w:p w14:paraId="302507F5" w14:textId="3D3B2966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8)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6D7460D8" w14:textId="177A70B2" w:rsid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9)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__________________________________________________________________________________</w:t>
                  </w:r>
                </w:p>
                <w:p w14:paraId="333685DE" w14:textId="366ECFDC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0)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_________________________________________________________________________________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eastAsia="it-IT"/>
                    </w:rPr>
                    <w:t>_</w:t>
                  </w:r>
                </w:p>
                <w:p w14:paraId="4DBA5F27" w14:textId="77777777" w:rsidR="00895859" w:rsidRPr="00895859" w:rsidRDefault="00895859" w:rsidP="00895859">
                  <w:pPr>
                    <w:pStyle w:val="Corpotesto"/>
                    <w:ind w:left="180" w:right="-1"/>
                    <w:jc w:val="left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01E13C47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38D232DB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72F5C4D7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598D4F4F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1D28766C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3453D637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0F4DD2AD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3797F065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5AEE1959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7B4F502F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2CC407A6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7766266C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24DCE324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490290C1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</w:p>
                <w:p w14:paraId="287E96DC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</w:rPr>
                    <w:lastRenderedPageBreak/>
                    <w:t>La successiva parte della presente Scheda Offerta Componente Tecnica dovrà essere compilata solo nel caso in cui il Concorrente abbia barrato l’opzione che prevede l’inclusione di varianti migliorative predeterminate.</w:t>
                  </w:r>
                </w:p>
                <w:p w14:paraId="1B6E2BAF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14:paraId="6C8EABC8" w14:textId="77777777" w:rsidR="00895859" w:rsidRPr="00895859" w:rsidRDefault="00895859" w:rsidP="00895859">
                  <w:pPr>
                    <w:pStyle w:val="Corpotesto"/>
                    <w:ind w:left="180" w:right="-1"/>
                    <w:jc w:val="both"/>
                    <w:rPr>
                      <w:rFonts w:asciiTheme="majorHAnsi" w:hAnsiTheme="majorHAnsi" w:cstheme="majorHAnsi"/>
                      <w:b/>
                      <w:iCs/>
                      <w:sz w:val="22"/>
                      <w:szCs w:val="22"/>
                      <w:u w:val="single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i/>
                      <w:iCs/>
                      <w:sz w:val="22"/>
                      <w:szCs w:val="22"/>
                      <w:u w:val="single"/>
                    </w:rPr>
                    <w:t>Si precisa altresì che non è obbligatorio proporre varianti/migliorie a tutti gli elementi di seguito elencati, essendo ciascuno di essi valutato con punteggi separati.</w:t>
                  </w:r>
                </w:p>
                <w:p w14:paraId="3860F9A0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9655E08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3DD408E6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10D50006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 xml:space="preserve">Elemento </w:t>
                  </w:r>
                </w:p>
                <w:p w14:paraId="566E929C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6AFB5FDC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4899580F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Riduzione franchigie/scoperti Franchigia frontale</w:t>
                  </w:r>
                </w:p>
              </w:tc>
            </w:tr>
          </w:tbl>
          <w:p w14:paraId="0A66240B" w14:textId="77777777" w:rsidR="00895859" w:rsidRPr="00895859" w:rsidRDefault="00895859" w:rsidP="00895859">
            <w:pPr>
              <w:pStyle w:val="Corpotesto"/>
              <w:ind w:left="180"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34F10911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B816E3A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6E4B55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CF8C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 frontale di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€ 5.000,00</w:t>
                  </w:r>
                </w:p>
              </w:tc>
            </w:tr>
            <w:tr w:rsidR="00895859" w:rsidRPr="00895859" w14:paraId="4F1417EE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DF5A70C" w14:textId="247E5A88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 w:rsidR="00E902EC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1630FA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61DAD0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franchigia frontale di € 5.000,00 fino a:</w:t>
                  </w:r>
                </w:p>
              </w:tc>
            </w:tr>
          </w:tbl>
          <w:p w14:paraId="50E6F268" w14:textId="58102D85" w:rsidR="00895859" w:rsidRPr="00895859" w:rsidRDefault="00895859" w:rsidP="00951D5D">
            <w:pPr>
              <w:pStyle w:val="Corpotesto"/>
              <w:ind w:left="2067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="00951D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>Euro</w:t>
            </w:r>
            <w:r w:rsidR="00951D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>3.000,00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6EE5DAB" w14:textId="20BEA68B" w:rsidR="00895859" w:rsidRPr="00895859" w:rsidRDefault="00895859" w:rsidP="00951D5D">
            <w:pPr>
              <w:pStyle w:val="Corpotesto"/>
              <w:ind w:left="2067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Euro 1.000,00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18C3373" w14:textId="72CC4655" w:rsidR="00895859" w:rsidRPr="00895859" w:rsidRDefault="00895859" w:rsidP="00951D5D">
            <w:pPr>
              <w:pStyle w:val="Corpotesto"/>
              <w:ind w:left="1925" w:right="332" w:firstLine="14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51D5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>nessuna franchigia frontale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A9EA3CF" w14:textId="77777777" w:rsidR="00895859" w:rsidRPr="00895859" w:rsidRDefault="00895859" w:rsidP="00895859">
            <w:pPr>
              <w:pStyle w:val="Corpotesto"/>
              <w:ind w:left="18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FF1EA7" w14:textId="77777777" w:rsidR="00895859" w:rsidRPr="00895859" w:rsidRDefault="00895859" w:rsidP="008A4270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4047E06F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2079CE3B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0E616D2F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7BE960FB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 xml:space="preserve">Elemento </w:t>
                  </w:r>
                </w:p>
                <w:p w14:paraId="433A7C30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35BB12C8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64CC583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Eliminazione percentuale del 70% sul valore del Fabbricato per sotto limite delle garanzie di seguito elencate</w:t>
                  </w:r>
                </w:p>
              </w:tc>
            </w:tr>
          </w:tbl>
          <w:p w14:paraId="4AA65BD2" w14:textId="77777777" w:rsidR="00895859" w:rsidRPr="00895859" w:rsidRDefault="00895859" w:rsidP="00895859">
            <w:pPr>
              <w:pStyle w:val="Corpotesto"/>
              <w:ind w:left="180"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69513795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B1D6685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F2F75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07F510" w14:textId="280CB0A6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 xml:space="preserve">non intende eliminare, rispetto a quanto previsto ART. 2-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 xml:space="preserve"> si indennizzo, franchigie e scoperti</w:t>
                  </w:r>
                  <w:r w:rsidRPr="008A4270">
                    <w:rPr>
                      <w:rFonts w:asciiTheme="majorHAnsi" w:hAnsiTheme="majorHAnsi" w:cstheme="majorHAnsi"/>
                      <w:sz w:val="22"/>
                      <w:szCs w:val="22"/>
                    </w:rPr>
                    <w:t>,</w:t>
                  </w:r>
                  <w:r w:rsidR="008A4270" w:rsidRPr="008A427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percentuale de 70% sul valore del Fabbricato per sotto limite delle garanzie “Eventi socio-politici”, “Terrorismo e sabotaggio”, “Eventi Atmosferici”, “Inondazioni, alluvioni, Allagamenti”, “Sovraccarico neve”, Terremoto” </w:t>
                  </w:r>
                </w:p>
              </w:tc>
            </w:tr>
            <w:tr w:rsidR="00895859" w:rsidRPr="00895859" w14:paraId="3B077C64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BCE47FC" w14:textId="2617F634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AC8E3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90E53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 xml:space="preserve">si impegna ad eliminare,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rispetto a quanto previsto ART. 2-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si indennizzo, franchigie e scoperti, la percentuale del 70% sul valore del Fabbricato per sotto limite delle garanzie “Eventi socio-politici”, “Terrorismo e sabotaggio”, “Eventi Atmosferici”, “Inondazioni, alluvioni, Allagamenti”, “Sovraccarico neve”, Terremoto”</w:t>
                  </w:r>
                </w:p>
              </w:tc>
            </w:tr>
          </w:tbl>
          <w:p w14:paraId="293BD415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  <w:p w14:paraId="7743F59A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  <w:p w14:paraId="05321C32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4BF5B63B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651B8921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2C5CCFA6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Elemento 3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7F96E174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5A540A4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Riduzione Scoperto/Franchigia della garanzia Eventi atmosferici</w:t>
                  </w:r>
                </w:p>
              </w:tc>
            </w:tr>
          </w:tbl>
          <w:p w14:paraId="6C68A56E" w14:textId="77777777" w:rsidR="00895859" w:rsidRPr="00895859" w:rsidRDefault="00895859" w:rsidP="00895859">
            <w:pPr>
              <w:pStyle w:val="Corpotesto"/>
              <w:ind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25859C24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6320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AA8755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6B75E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franchigia/scoperto per la garanzia Eventi atmosferici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</w:t>
                  </w:r>
                </w:p>
              </w:tc>
            </w:tr>
            <w:tr w:rsidR="00895859" w:rsidRPr="00895859" w14:paraId="05E0A484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1C3E8D3" w14:textId="252994B6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C78EAB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B8E973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garanzia Eventi atmosferici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Ubicazione:</w:t>
                  </w:r>
                </w:p>
              </w:tc>
            </w:tr>
          </w:tbl>
          <w:p w14:paraId="16141739" w14:textId="7B703C1D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15%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1BCBB32F" w14:textId="584A36AE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0A5E4DE" w14:textId="05308220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74A0DD7" w14:textId="38BD3C5D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  5%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5F01A7E0" w14:textId="77777777" w:rsidR="00895859" w:rsidRPr="00895859" w:rsidRDefault="00895859" w:rsidP="008A4270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D92341C" w14:textId="77777777" w:rsidR="00895859" w:rsidRPr="00895859" w:rsidRDefault="00895859" w:rsidP="008A4270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4CE5FA0D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2DAF3198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2DB6A36F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Elemento 4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52A8A394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2A983ED5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Riduzione Scoperto/Franchigia della garanzia Sovraccarico neve</w:t>
                  </w:r>
                </w:p>
              </w:tc>
            </w:tr>
          </w:tbl>
          <w:p w14:paraId="350E613F" w14:textId="77777777" w:rsidR="00895859" w:rsidRPr="00895859" w:rsidRDefault="00895859" w:rsidP="00895859">
            <w:pPr>
              <w:pStyle w:val="Corpotesto"/>
              <w:ind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035455DA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3B57D3D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924E5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D48738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franchigia/scoperto per la garanzia Sovraccarico neve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</w:t>
                  </w:r>
                </w:p>
              </w:tc>
            </w:tr>
            <w:tr w:rsidR="00895859" w:rsidRPr="00895859" w14:paraId="4A969CBA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56E2BE4" w14:textId="36C9EAC6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969D4C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1D6AC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garanzia Sovraccarico neve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Ubicazione:</w:t>
                  </w:r>
                </w:p>
              </w:tc>
            </w:tr>
          </w:tbl>
          <w:p w14:paraId="0F076137" w14:textId="6FD61CF1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15%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929460F" w14:textId="015812E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F718770" w14:textId="1D840E77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165B34C" w14:textId="1A519537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  5%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259C3BC2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5AD5073" w14:textId="77777777" w:rsidR="00895859" w:rsidRPr="00895859" w:rsidRDefault="00895859" w:rsidP="0082544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14F436DA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E91266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73BEA7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5E036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584F3658" w14:textId="77777777" w:rsidTr="00825449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71BD21D5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lastRenderedPageBreak/>
                    <w:t>Elemento 5</w:t>
                  </w:r>
                </w:p>
              </w:tc>
              <w:tc>
                <w:tcPr>
                  <w:tcW w:w="160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7FC7DF36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31CB1E1E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Riduzione Scoperto/Franchigia della garanzia TERREMOTO</w:t>
                  </w:r>
                </w:p>
              </w:tc>
            </w:tr>
          </w:tbl>
          <w:p w14:paraId="71E4B8D0" w14:textId="77777777" w:rsidR="00895859" w:rsidRPr="00895859" w:rsidRDefault="00895859" w:rsidP="00895859">
            <w:pPr>
              <w:pStyle w:val="Corpotesto"/>
              <w:ind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33CDDA38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E930483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2106A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09389E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franchigia/scoperto per la garanzia Terremoto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</w:t>
                  </w:r>
                </w:p>
              </w:tc>
            </w:tr>
            <w:tr w:rsidR="00895859" w:rsidRPr="00895859" w14:paraId="42467C84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7B39617E" w14:textId="73FBF560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5E2618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E8425C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garanzia Terremoto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20% con il minimo di € 50.000,00 per sinistro e per Ubicazione:</w:t>
                  </w:r>
                </w:p>
              </w:tc>
            </w:tr>
          </w:tbl>
          <w:p w14:paraId="2523BD87" w14:textId="6D0D143F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15%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72ABB42" w14:textId="7E678F26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€ 50.000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D5EBD4C" w14:textId="7E1461BB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6910325" w14:textId="26DDE326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5% con il minimo di € 25.000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4328A11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E79009" w14:textId="77777777" w:rsidR="00895859" w:rsidRPr="00895859" w:rsidRDefault="00895859" w:rsidP="0082544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2B8D654A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207EC435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6A738E51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t>Elemento 6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6E27A060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014072BF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>Riduzione Scoperto/Franchigia della Garanzia Eventi socio-politici</w:t>
                  </w:r>
                </w:p>
              </w:tc>
            </w:tr>
          </w:tbl>
          <w:p w14:paraId="3A39EF49" w14:textId="77777777" w:rsidR="00895859" w:rsidRPr="00895859" w:rsidRDefault="00895859" w:rsidP="00895859">
            <w:pPr>
              <w:pStyle w:val="Corpotesto"/>
              <w:ind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29240281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B9D942E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74A83F9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5CA71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franchigia/scoperto per la garanzia Eventi socio-politici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10% con il minimo di € 25.000,00 per sinistro e per Ubicazione</w:t>
                  </w:r>
                </w:p>
              </w:tc>
            </w:tr>
            <w:tr w:rsidR="00895859" w:rsidRPr="00895859" w14:paraId="7DF79AF2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580E434" w14:textId="63C82C41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BF9AD3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354C2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garanzia Eventi socio-politici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10% con il minimo di € 25.000,00 per sinistro e per Ubicazione:</w:t>
                  </w:r>
                </w:p>
              </w:tc>
            </w:tr>
          </w:tbl>
          <w:p w14:paraId="1F003B83" w14:textId="7A787125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6F7E555" w14:textId="216870FE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  5% con il minimo di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F25D86D" w14:textId="032D6133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79ECB2AC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88F71F7" w14:textId="77777777" w:rsidR="00895859" w:rsidRPr="00895859" w:rsidRDefault="00895859" w:rsidP="001C70FC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3AC571A6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43A5C87E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4A0965C9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6592ABF4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</w:pPr>
          </w:p>
          <w:p w14:paraId="46DBAAF9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74"/>
              <w:gridCol w:w="160"/>
              <w:gridCol w:w="8058"/>
            </w:tblGrid>
            <w:tr w:rsidR="00895859" w:rsidRPr="00895859" w14:paraId="5598170E" w14:textId="77777777" w:rsidTr="00E46158">
              <w:trPr>
                <w:trHeight w:val="828"/>
              </w:trPr>
              <w:tc>
                <w:tcPr>
                  <w:tcW w:w="1174" w:type="dxa"/>
                  <w:shd w:val="pct10" w:color="auto" w:fill="auto"/>
                  <w:vAlign w:val="center"/>
                </w:tcPr>
                <w:p w14:paraId="743AEB8B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sz w:val="22"/>
                      <w:szCs w:val="22"/>
                    </w:rPr>
                    <w:lastRenderedPageBreak/>
                    <w:t>Elemento 7</w:t>
                  </w:r>
                </w:p>
              </w:tc>
              <w:tc>
                <w:tcPr>
                  <w:tcW w:w="146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14:paraId="136B3294" w14:textId="77777777" w:rsidR="00895859" w:rsidRPr="00895859" w:rsidRDefault="00895859" w:rsidP="00895859">
                  <w:pPr>
                    <w:pStyle w:val="Titolo3"/>
                    <w:spacing w:before="0" w:after="0" w:line="240" w:lineRule="auto"/>
                    <w:ind w:left="0" w:hanging="2"/>
                    <w:rPr>
                      <w:rFonts w:asciiTheme="majorHAnsi" w:hAnsiTheme="majorHAnsi" w:cstheme="majorHAnsi"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8058" w:type="dxa"/>
                  <w:shd w:val="pct10" w:color="auto" w:fill="FFFFFF"/>
                  <w:vAlign w:val="center"/>
                </w:tcPr>
                <w:p w14:paraId="12800DA4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/>
                      <w:bCs/>
                      <w:caps/>
                      <w:sz w:val="22"/>
                      <w:szCs w:val="22"/>
                    </w:rPr>
                    <w:t xml:space="preserve">Riduzione Scoperto/Franchigia della 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GARANZIA </w:t>
                  </w:r>
                  <w:r w:rsidRPr="00895859">
                    <w:rPr>
                      <w:rFonts w:asciiTheme="majorHAnsi" w:hAnsiTheme="majorHAnsi" w:cstheme="majorHAnsi"/>
                      <w:b/>
                      <w:color w:val="000000"/>
                      <w:sz w:val="22"/>
                      <w:szCs w:val="22"/>
                    </w:rPr>
                    <w:t>INONDAZIONI, ALLUVIONI, ALLAGAMENTI</w:t>
                  </w:r>
                </w:p>
              </w:tc>
            </w:tr>
          </w:tbl>
          <w:p w14:paraId="46B9630E" w14:textId="77777777" w:rsidR="00895859" w:rsidRPr="00895859" w:rsidRDefault="00895859" w:rsidP="00895859">
            <w:pPr>
              <w:pStyle w:val="Corpotesto"/>
              <w:ind w:right="-1"/>
              <w:jc w:val="both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tbl>
            <w:tblPr>
              <w:tblW w:w="8825" w:type="dxa"/>
              <w:tblInd w:w="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426"/>
              <w:gridCol w:w="7407"/>
            </w:tblGrid>
            <w:tr w:rsidR="00895859" w:rsidRPr="00895859" w14:paraId="2544863F" w14:textId="77777777" w:rsidTr="00E46158">
              <w:trPr>
                <w:trHeight w:val="872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119EA4D" w14:textId="77777777" w:rsidR="00895859" w:rsidRPr="00895859" w:rsidRDefault="00895859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A3E5A1F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144268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non intende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franchigia/scoperto per la garanzia Inondazioni, alluvioni, allagamenti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10% con il minimo di € 25.000,00 per sinistro e per Ubicazione</w:t>
                  </w:r>
                </w:p>
              </w:tc>
            </w:tr>
            <w:tr w:rsidR="00895859" w:rsidRPr="00895859" w14:paraId="665B31AA" w14:textId="77777777" w:rsidTr="00E46158">
              <w:trPr>
                <w:trHeight w:val="888"/>
              </w:trPr>
              <w:tc>
                <w:tcPr>
                  <w:tcW w:w="992" w:type="dxa"/>
                  <w:tcBorders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0DED91B" w14:textId="54409EBA" w:rsidR="00895859" w:rsidRPr="00895859" w:rsidRDefault="00E902EC" w:rsidP="00895859">
                  <w:pPr>
                    <w:pStyle w:val="Titolo2"/>
                    <w:spacing w:before="0" w:after="0" w:line="240" w:lineRule="auto"/>
                    <w:ind w:left="0" w:hanging="2"/>
                    <w:jc w:val="center"/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</w:pPr>
                  <w:proofErr w:type="spellStart"/>
                  <w:r w:rsidRPr="00895859"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Theme="majorHAnsi" w:hAnsiTheme="majorHAnsi" w:cstheme="majorHAnsi"/>
                      <w:b w:val="0"/>
                      <w:i/>
                      <w:sz w:val="22"/>
                      <w:szCs w:val="22"/>
                    </w:rPr>
                    <w:t>ĺ</w:t>
                  </w:r>
                  <w:proofErr w:type="spellEnd"/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3BBFD2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A9B0D" w14:textId="77777777" w:rsidR="00895859" w:rsidRPr="00895859" w:rsidRDefault="00895859" w:rsidP="00895859">
                  <w:pPr>
                    <w:spacing w:after="0" w:line="240" w:lineRule="auto"/>
                    <w:ind w:left="0" w:hanging="2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Il Concorrente 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  <w:u w:val="single"/>
                    </w:rPr>
                    <w:t>si impegna a ridurre</w:t>
                  </w:r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, rispetto a quanto previsto Art.2 – </w:t>
                  </w:r>
                  <w:proofErr w:type="spellStart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>Sottolimiti</w:t>
                  </w:r>
                  <w:proofErr w:type="spellEnd"/>
                  <w:r w:rsidRPr="00895859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di indennizzo, franchigie e scoperti, la garanzia Inondazioni, alluvioni, allagamenti pari a</w:t>
                  </w:r>
                  <w:r w:rsidRPr="00895859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 xml:space="preserve"> Scoperto 10% con il minimo di € 25.000,00 per sinistro e per Ubicazione:</w:t>
                  </w:r>
                </w:p>
              </w:tc>
            </w:tr>
          </w:tbl>
          <w:p w14:paraId="538D2ED5" w14:textId="26300286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10% con il minimo di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A4A86AE" w14:textId="38421033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Scoperto   5% con il minimo di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81DB13B" w14:textId="59061C9C" w:rsidR="00895859" w:rsidRPr="00895859" w:rsidRDefault="00895859" w:rsidP="00895859">
            <w:pPr>
              <w:tabs>
                <w:tab w:val="left" w:pos="800"/>
                <w:tab w:val="left" w:pos="3402"/>
                <w:tab w:val="left" w:pos="3969"/>
              </w:tabs>
              <w:spacing w:after="0" w:line="240" w:lineRule="auto"/>
              <w:ind w:left="0" w:right="332" w:hanging="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</w:t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sym w:font="Wingdings" w:char="F0A8"/>
            </w:r>
            <w:r w:rsidRPr="008958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€ 10.000 per sinistro e Ubicazione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3624ED1D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1A952B8" w14:textId="77777777" w:rsidR="00895859" w:rsidRPr="00895859" w:rsidRDefault="00895859" w:rsidP="001C70FC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both"/>
              <w:rPr>
                <w:rFonts w:asciiTheme="majorHAnsi" w:hAnsiTheme="majorHAnsi" w:cstheme="majorHAnsi"/>
                <w:b/>
                <w:iCs/>
                <w:sz w:val="22"/>
                <w:szCs w:val="22"/>
                <w:u w:val="single"/>
                <w:lang w:eastAsia="en-US"/>
              </w:rPr>
            </w:pPr>
            <w:r w:rsidRPr="00895859">
              <w:rPr>
                <w:rFonts w:asciiTheme="majorHAnsi" w:hAnsiTheme="majorHAnsi" w:cstheme="majorHAnsi"/>
                <w:i/>
                <w:iCs/>
                <w:sz w:val="22"/>
                <w:szCs w:val="22"/>
                <w:u w:val="single"/>
              </w:rPr>
              <w:t>Qualora sia stata barrata la casella “SI” il Concorrente deve tassativamente barrare la casella che rappresenta la variante sulla base del quale è stata formulata la propria offerta</w:t>
            </w:r>
          </w:p>
          <w:p w14:paraId="17D726E0" w14:textId="77777777" w:rsidR="00895859" w:rsidRPr="00895859" w:rsidRDefault="00895859" w:rsidP="00895859">
            <w:pPr>
              <w:pStyle w:val="Corpotesto"/>
              <w:tabs>
                <w:tab w:val="left" w:pos="800"/>
                <w:tab w:val="left" w:pos="3402"/>
                <w:tab w:val="left" w:pos="3969"/>
              </w:tabs>
              <w:ind w:left="300" w:right="332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0C23FD" w14:textId="77777777" w:rsidR="00895859" w:rsidRPr="00895859" w:rsidRDefault="00895859" w:rsidP="00895859">
            <w:pPr>
              <w:pStyle w:val="ABLOCKPARA"/>
              <w:ind w:right="-35" w:hanging="2"/>
              <w:jc w:val="center"/>
              <w:rPr>
                <w:rFonts w:asciiTheme="majorHAnsi" w:hAnsiTheme="majorHAnsi" w:cstheme="majorHAnsi"/>
                <w:b/>
                <w:iCs/>
                <w:szCs w:val="22"/>
                <w:u w:val="single"/>
                <w:lang w:eastAsia="en-US"/>
              </w:rPr>
            </w:pPr>
          </w:p>
          <w:p w14:paraId="21CD6925" w14:textId="77777777" w:rsidR="00895859" w:rsidRPr="00895859" w:rsidRDefault="00895859" w:rsidP="001C70FC">
            <w:pPr>
              <w:pStyle w:val="Corpotesto"/>
              <w:ind w:right="278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 xml:space="preserve">Riparto Assicurativo: </w:t>
            </w:r>
          </w:p>
          <w:p w14:paraId="604767D0" w14:textId="77777777" w:rsidR="00895859" w:rsidRPr="00895859" w:rsidRDefault="00895859" w:rsidP="00895859">
            <w:pPr>
              <w:tabs>
                <w:tab w:val="left" w:pos="-1560"/>
              </w:tabs>
              <w:spacing w:after="0" w:line="240" w:lineRule="auto"/>
              <w:ind w:left="0" w:right="-1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667952" w14:textId="3FBAFB64" w:rsidR="00895859" w:rsidRPr="00AE4E85" w:rsidRDefault="00895859" w:rsidP="00895859">
            <w:pPr>
              <w:tabs>
                <w:tab w:val="left" w:pos="-1560"/>
              </w:tabs>
              <w:spacing w:after="0" w:line="240" w:lineRule="auto"/>
              <w:ind w:left="0" w:right="-1" w:hanging="2"/>
              <w:jc w:val="both"/>
              <w:rPr>
                <w:rFonts w:ascii="Helvetica Now Text" w:hAnsi="Helvetica Now Text" w:cs="Arial"/>
                <w:b/>
                <w:sz w:val="18"/>
                <w:szCs w:val="18"/>
              </w:rPr>
            </w:pP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  <w:r w:rsidR="001C70FC">
              <w:rPr>
                <w:rFonts w:asciiTheme="majorHAnsi" w:hAnsiTheme="majorHAnsi" w:cstheme="majorHAnsi"/>
                <w:sz w:val="22"/>
                <w:szCs w:val="22"/>
              </w:rPr>
              <w:t xml:space="preserve"> ______________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                       firma</w:t>
            </w:r>
            <w:r w:rsidR="001C70F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859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C70FC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  <w:r w:rsidR="001C70FC" w:rsidRPr="00895859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895859" w:rsidRPr="00AE4E85" w14:paraId="475C2DBE" w14:textId="77777777" w:rsidTr="00E46158">
        <w:trPr>
          <w:trHeight w:val="1149"/>
        </w:trPr>
        <w:tc>
          <w:tcPr>
            <w:tcW w:w="9923" w:type="dxa"/>
            <w:vAlign w:val="center"/>
          </w:tcPr>
          <w:p w14:paraId="07D311BD" w14:textId="77777777" w:rsidR="00895859" w:rsidRPr="00AE4E85" w:rsidRDefault="00895859" w:rsidP="00E46158">
            <w:pPr>
              <w:ind w:left="0" w:hanging="2"/>
              <w:jc w:val="center"/>
              <w:rPr>
                <w:rFonts w:ascii="Helvetica Now Text" w:hAnsi="Helvetica Now Text"/>
                <w:sz w:val="18"/>
                <w:szCs w:val="18"/>
              </w:rPr>
            </w:pPr>
          </w:p>
        </w:tc>
      </w:tr>
    </w:tbl>
    <w:p w14:paraId="44F7204A" w14:textId="77777777" w:rsidR="00346BD7" w:rsidRPr="00895859" w:rsidRDefault="00346BD7" w:rsidP="00895859">
      <w:pPr>
        <w:ind w:left="0" w:hanging="2"/>
      </w:pPr>
    </w:p>
    <w:sectPr w:rsidR="00346BD7" w:rsidRPr="00895859" w:rsidSect="0064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721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E09AC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w Text">
    <w:altName w:val="Arial"/>
    <w:charset w:val="00"/>
    <w:family w:val="swiss"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58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A39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8D3A597" wp14:editId="0A844D34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ABA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67BEADD6" wp14:editId="191FE52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38A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6A138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3C1" w14:textId="77777777" w:rsidR="00594E60" w:rsidRDefault="00951D5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2E2B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808" w14:textId="0ADC6A3B" w:rsidR="00594E60" w:rsidRDefault="00631F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BE475" wp14:editId="2F7DDEE3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940035166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C09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3C8312C" wp14:editId="62134890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534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109271FA" wp14:editId="5D2B2C2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6B11E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A9590D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6E2196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AF5CFC7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330B7B8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5F04F10C" w14:textId="03A9E909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5BA0461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8302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</w:p>
  <w:p w14:paraId="2EAD5C9C" w14:textId="58513AD6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pec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631F8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3C1D5" wp14:editId="69D2D564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635" cy="12700"/>
              <wp:effectExtent l="0" t="0" r="18415" b="6350"/>
              <wp:wrapNone/>
              <wp:docPr id="1958519244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C3D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pt;margin-top:1pt;width: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" filled="t" strokecolor="gray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4BC6A35D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E7606B2" w14:textId="0C5F4CFD" w:rsidR="00C63649" w:rsidRPr="00450EC5" w:rsidRDefault="00631F83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201E0" wp14:editId="12EC3FFB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6478940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C4F98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1C70FC"/>
    <w:rsid w:val="00220B05"/>
    <w:rsid w:val="00346BD7"/>
    <w:rsid w:val="003859C1"/>
    <w:rsid w:val="004548A5"/>
    <w:rsid w:val="00594E60"/>
    <w:rsid w:val="00605931"/>
    <w:rsid w:val="00631F83"/>
    <w:rsid w:val="00644808"/>
    <w:rsid w:val="00825449"/>
    <w:rsid w:val="00895859"/>
    <w:rsid w:val="008A4270"/>
    <w:rsid w:val="00951D5D"/>
    <w:rsid w:val="009C7D82"/>
    <w:rsid w:val="009D0C10"/>
    <w:rsid w:val="00A56956"/>
    <w:rsid w:val="00A61BAD"/>
    <w:rsid w:val="00AB6C20"/>
    <w:rsid w:val="00B76388"/>
    <w:rsid w:val="00BC5854"/>
    <w:rsid w:val="00BE57D8"/>
    <w:rsid w:val="00C20701"/>
    <w:rsid w:val="00C63649"/>
    <w:rsid w:val="00E902EC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8D54C"/>
  <w15:docId w15:val="{BC68FCDD-3B29-4641-8436-2654115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locked/>
    <w:rsid w:val="00346BD7"/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unhideWhenUsed/>
    <w:rsid w:val="00346BD7"/>
    <w:pPr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346BD7"/>
    <w:rPr>
      <w:position w:val="-1"/>
      <w:sz w:val="24"/>
      <w:szCs w:val="24"/>
      <w:lang w:eastAsia="ja-JP"/>
    </w:rPr>
  </w:style>
  <w:style w:type="paragraph" w:customStyle="1" w:styleId="ABLOCKPARA">
    <w:name w:val="A BLOCK PARA"/>
    <w:basedOn w:val="Normale"/>
    <w:rsid w:val="00346BD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Book Antiqua" w:eastAsia="Times New Roman" w:hAnsi="Book Antiqua" w:cs="Times New Roman"/>
      <w:position w:val="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 Polli</cp:lastModifiedBy>
  <cp:revision>11</cp:revision>
  <cp:lastPrinted>2022-10-07T07:43:00Z</cp:lastPrinted>
  <dcterms:created xsi:type="dcterms:W3CDTF">2023-10-01T15:52:00Z</dcterms:created>
  <dcterms:modified xsi:type="dcterms:W3CDTF">2023-11-22T12:02:00Z</dcterms:modified>
</cp:coreProperties>
</file>