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0AA5A232" w14:textId="72232383" w:rsidR="00F055B7" w:rsidRDefault="00F055B7">
      <w:pPr>
        <w:spacing w:after="0" w:line="240" w:lineRule="auto"/>
        <w:ind w:left="0" w:hanging="2"/>
        <w:rPr>
          <w:rFonts w:ascii="Calibri" w:hAnsi="Calibri" w:cs="Calibri"/>
          <w:color w:val="000000"/>
          <w:sz w:val="22"/>
          <w:szCs w:val="22"/>
        </w:rPr>
      </w:pPr>
    </w:p>
    <w:p w14:paraId="496D78C7" w14:textId="3AE62C97" w:rsidR="00180C7D" w:rsidRPr="00180C7D" w:rsidRDefault="00180C7D" w:rsidP="00180C7D">
      <w:pPr>
        <w:suppressAutoHyphens w:val="0"/>
        <w:spacing w:after="160" w:line="259" w:lineRule="auto"/>
        <w:ind w:leftChars="0" w:left="0" w:firstLineChars="0" w:firstLine="0"/>
        <w:jc w:val="center"/>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b/>
          <w:bCs/>
          <w:position w:val="0"/>
          <w:sz w:val="22"/>
          <w:szCs w:val="22"/>
          <w:lang w:eastAsia="en-US"/>
        </w:rPr>
        <w:t>Exit Management</w:t>
      </w:r>
    </w:p>
    <w:p w14:paraId="07BF3B4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Nel presente allegato vengono descritte le attività e le procedure che saranno richieste al Fornitore nella fase finale del rapporto contrattuale, per il rilascio del servizio, per il passaggio delle consegne al subentrante designato (Fornitore Entrante) dalla Fondazione e per il trasferimento al relativo personale di tutte le conoscenze necessarie a garantire la fluida transizione nella erogazione e la continuità operativa per l’utenza dei servizi in fornitura della Fondazione. </w:t>
      </w:r>
    </w:p>
    <w:p w14:paraId="4E526D49"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b/>
          <w:bCs/>
          <w:position w:val="0"/>
          <w:sz w:val="22"/>
          <w:szCs w:val="22"/>
          <w:u w:val="single"/>
          <w:lang w:eastAsia="en-US"/>
        </w:rPr>
        <w:t>Alla scadenza del contratto tutti gli asset (componenti hardware e software) diventeranno di proprietà della Fondazione</w:t>
      </w:r>
      <w:r w:rsidRPr="00180C7D">
        <w:rPr>
          <w:rFonts w:ascii="Calibri" w:eastAsia="Calibri" w:hAnsi="Calibri" w:cs="Times New Roman"/>
          <w:position w:val="0"/>
          <w:sz w:val="22"/>
          <w:szCs w:val="22"/>
          <w:lang w:eastAsia="en-US"/>
        </w:rPr>
        <w:t xml:space="preserve">. </w:t>
      </w:r>
    </w:p>
    <w:p w14:paraId="4B37567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presterà l’assistenza necessaria a trasferire la gestione dei servizi alla Fondazione o al nuovo Fornitore per un periodo pari agli ultimi tre (3) mesi di contrattuali. </w:t>
      </w:r>
    </w:p>
    <w:p w14:paraId="24FD285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La fase di Exit Management, contempla i seguenti aspetti: </w:t>
      </w:r>
    </w:p>
    <w:p w14:paraId="1F0156E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Fornitura del servizio e delle modalità di garanzia di continuità nella fase di trasferimento; </w:t>
      </w:r>
    </w:p>
    <w:p w14:paraId="1170298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Gestione del processo di trasferimento: ruoli, responsabilità, autorizzazioni e risorse da assegnare; </w:t>
      </w:r>
    </w:p>
    <w:p w14:paraId="16F5BD5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Diritti di proprietà intellettuale: accordi necessari, licenze, etc.; </w:t>
      </w:r>
    </w:p>
    <w:p w14:paraId="6C6D8D44"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Due Diligence: definizione della documentazione e dei contenuti da trasferire ad un altro Fornitore subentrante, nonché la definizione delle altre obbligazioni e penalità previste; </w:t>
      </w:r>
    </w:p>
    <w:p w14:paraId="41D161AA"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Trasferimento del piano della sicurezza; </w:t>
      </w:r>
    </w:p>
    <w:p w14:paraId="189C894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Piano di comunicazione. </w:t>
      </w:r>
    </w:p>
    <w:p w14:paraId="484A5BE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67B580B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Di seguito si riporta una traccia dei contenuti e delle caratteristiche qualificanti dell’attività di Exit, che saranno gestite in ambito Comitato di Governance dei servizi, relativamente a: </w:t>
      </w:r>
    </w:p>
    <w:p w14:paraId="3917E2B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oggetto della transizione, attività e relative modalità di esecuzione; </w:t>
      </w:r>
    </w:p>
    <w:p w14:paraId="6461787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compiti e responsabilità di ciascuna delle parti. </w:t>
      </w:r>
    </w:p>
    <w:p w14:paraId="0A5691D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624E80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Le caratteristiche qualificanti si riconoscono nei seguenti aspetti: </w:t>
      </w:r>
    </w:p>
    <w:p w14:paraId="40E70E7E"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Piano di Transizione</w:t>
      </w:r>
      <w:r w:rsidRPr="00180C7D">
        <w:rPr>
          <w:rFonts w:ascii="Calibri" w:eastAsia="Calibri" w:hAnsi="Calibri" w:cs="Times New Roman"/>
          <w:position w:val="0"/>
          <w:sz w:val="22"/>
          <w:szCs w:val="22"/>
          <w:lang w:eastAsia="en-US"/>
        </w:rPr>
        <w:t xml:space="preserve">: </w:t>
      </w:r>
    </w:p>
    <w:p w14:paraId="7B23D475"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lastRenderedPageBreak/>
        <w:t xml:space="preserve">Le attività di affiancamento e rilascio sono specificate e governate da uno specifico Piano di Transizione, in cui saranno riportate tutte le attività previste in termini di tempi, risorse impiegate, punti di verifica e controllo dei risultati attesi, criteri di accettazione, i rischi, la cadenza degli incontri per la verifica dello stato di avanzamento delle attività; </w:t>
      </w:r>
    </w:p>
    <w:p w14:paraId="289A80C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A4BC1F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575DE35F"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7E892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Responsabilità</w:t>
      </w:r>
      <w:r w:rsidRPr="00180C7D">
        <w:rPr>
          <w:rFonts w:ascii="Calibri" w:eastAsia="Calibri" w:hAnsi="Calibri" w:cs="Times New Roman"/>
          <w:position w:val="0"/>
          <w:sz w:val="22"/>
          <w:szCs w:val="22"/>
          <w:lang w:eastAsia="en-US"/>
        </w:rPr>
        <w:t xml:space="preserve">: </w:t>
      </w:r>
    </w:p>
    <w:p w14:paraId="40583DCC"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durante il periodo di affiancamento e migrazione al termine del Contratto, la responsabilità dei Servizi viene mantenuta dal Fornitore fino al termine previsto contrattualmente; </w:t>
      </w:r>
    </w:p>
    <w:p w14:paraId="14479673"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Governo del processo</w:t>
      </w:r>
      <w:r w:rsidRPr="00180C7D">
        <w:rPr>
          <w:rFonts w:ascii="Calibri" w:eastAsia="Calibri" w:hAnsi="Calibri" w:cs="Times New Roman"/>
          <w:position w:val="0"/>
          <w:sz w:val="22"/>
          <w:szCs w:val="22"/>
          <w:lang w:eastAsia="en-US"/>
        </w:rPr>
        <w:t xml:space="preserve">: </w:t>
      </w:r>
    </w:p>
    <w:p w14:paraId="19637D5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assicura tutte le attività finalizzate a coordinare e verificare la corretta ed efficace esecuzione delle attività di Affiancamento e Rilascio nel rispetto dei termini concordati nonché la coerenza con i requisiti, i vincoli ed i termini stabiliti nei documenti contrattuali; a tale scopo viene individuata una figura unica per il Fornitore (Service Manager) che coordinerà tutte le attività e che interfaccerà la Fondazione ovvero l’eventuale Fornitore terzo subentrante; </w:t>
      </w:r>
    </w:p>
    <w:p w14:paraId="18CD2C7C"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Continuità dei servizi</w:t>
      </w:r>
      <w:r w:rsidRPr="00180C7D">
        <w:rPr>
          <w:rFonts w:ascii="Calibri" w:eastAsia="Calibri" w:hAnsi="Calibri" w:cs="Times New Roman"/>
          <w:position w:val="0"/>
          <w:sz w:val="22"/>
          <w:szCs w:val="22"/>
          <w:lang w:eastAsia="en-US"/>
        </w:rPr>
        <w:t xml:space="preserve">: </w:t>
      </w:r>
    </w:p>
    <w:p w14:paraId="1230406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garantire alla Fondazione il mantenimento dei richiesti livelli di servizio da parte del subentrante, nel Piano di Transizione sono previste fasi di verifica e validazione sia del trasferimento di know-how che del rilascio della documentazione; altresì, contestualmente al trasferimento delle conoscenze, si prevede un adeguato periodo di affiancamento delle risorse del subentrante nella operatività corrente del Fornitore uscente; </w:t>
      </w:r>
    </w:p>
    <w:p w14:paraId="602381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Risorse professionali</w:t>
      </w:r>
      <w:r w:rsidRPr="00180C7D">
        <w:rPr>
          <w:rFonts w:ascii="Calibri" w:eastAsia="Calibri" w:hAnsi="Calibri" w:cs="Times New Roman"/>
          <w:position w:val="0"/>
          <w:sz w:val="22"/>
          <w:szCs w:val="22"/>
          <w:lang w:eastAsia="en-US"/>
        </w:rPr>
        <w:t xml:space="preserve">: </w:t>
      </w:r>
    </w:p>
    <w:p w14:paraId="4D2A8819"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un gruppo di risorse del Fornitore appositamente designato affiancherà le risorse della Fondazione e/o del Fornitore subentrante per il trasferimento delle conoscenze sui servizi e sulle relative attività di gestione; il team (minimo 2 persone) sarà composto da personale già impegnato nell’erogazione dei servizi; </w:t>
      </w:r>
    </w:p>
    <w:p w14:paraId="73B4071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Customer care</w:t>
      </w:r>
      <w:r w:rsidRPr="00180C7D">
        <w:rPr>
          <w:rFonts w:ascii="Calibri" w:eastAsia="Calibri" w:hAnsi="Calibri" w:cs="Times New Roman"/>
          <w:position w:val="0"/>
          <w:sz w:val="22"/>
          <w:szCs w:val="22"/>
          <w:lang w:eastAsia="en-US"/>
        </w:rPr>
        <w:t xml:space="preserve">: </w:t>
      </w:r>
    </w:p>
    <w:p w14:paraId="5C7FE4CD"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minimizzare l’impatto del passaggio di consegne dal vecchio al nuovo gestore dei servizi nei riguardi degli utenti del Sistema. </w:t>
      </w:r>
    </w:p>
    <w:p w14:paraId="31796D3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1A5F50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In particolare il Fornitore si deve impegnare a soddisfare i seguenti requisiti generali: </w:t>
      </w:r>
    </w:p>
    <w:p w14:paraId="55ACFFA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durante la fase finale, fino al termine del periodo contrattuale, non vi saranno impatti o interruzioni del servizio causate specificamente dalle attività di passaggio delle consegne; </w:t>
      </w:r>
    </w:p>
    <w:p w14:paraId="68D78DD1"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lastRenderedPageBreak/>
        <w:t xml:space="preserve">- analogamente, in tale periodo, non vi saranno decadimenti dei livelli di servizio, specificamente imputabili al passaggio delle consegne e all’affiancamento del personale del Fornitore con quello subentrante; </w:t>
      </w:r>
    </w:p>
    <w:p w14:paraId="30686BF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nel medesimo periodo, dal punto di vista dell’utente finale, non vi saranno significativi cambiamenti, specificamente imputabili al passaggio delle consegne, che possano inficiare le attività operative. </w:t>
      </w:r>
    </w:p>
    <w:p w14:paraId="310278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6D4144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Per quanto riguarda la presa in carico del servizio da parte del subentrante, il Fornitore si impegna a mettere a disposizione, nelle modalità di seguito indicate, tutto il proprio personale responsabile e preposto ai servizi contrattualmente previsti, ad attività quali le seguenti: </w:t>
      </w:r>
    </w:p>
    <w:p w14:paraId="511A66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addestramento del personale subentrante, prevalentemente con affiancamento e in modalità on the job, finalizzato alla rapida acquisizione da parte di quest’ultimo delle conoscenze specifiche dei sistemi informativi e dei servizi oggetto del contratto; </w:t>
      </w:r>
    </w:p>
    <w:p w14:paraId="7CEA322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illustrazione della gestione del servizio e delle relative procedure di servizio in essere e messa a disposizione di tutta la relativa documentazione. </w:t>
      </w:r>
    </w:p>
    <w:p w14:paraId="3F92457A" w14:textId="6BCCA9B2"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La fase finale del periodo contrattuale sarà finalizzata, da una parte, alla prosecuzione dei servizi contrattualmente previsti, con il mantenimento dei livelli di servizio consolidati, dall’altra, a mettere in grado il personale tecnico indicato dalla Fondazione ad un efficace subentro nei servizi in questione. Per tale ragione, il Fornitore si deve impegnare nei confronti del subentrante ad un completo passaggio delle consegne ed alla fornitura di tutta la documentazione e il supporto necessari a consentire </w:t>
      </w:r>
      <w:r w:rsidR="00331078" w:rsidRPr="00180C7D">
        <w:rPr>
          <w:rFonts w:ascii="Calibri" w:eastAsia="Calibri" w:hAnsi="Calibri" w:cs="Times New Roman"/>
          <w:position w:val="0"/>
          <w:sz w:val="22"/>
          <w:szCs w:val="22"/>
          <w:lang w:eastAsia="en-US"/>
        </w:rPr>
        <w:t>un agevole avvio</w:t>
      </w:r>
      <w:r w:rsidRPr="00180C7D">
        <w:rPr>
          <w:rFonts w:ascii="Calibri" w:eastAsia="Calibri" w:hAnsi="Calibri" w:cs="Times New Roman"/>
          <w:position w:val="0"/>
          <w:sz w:val="22"/>
          <w:szCs w:val="22"/>
          <w:lang w:eastAsia="en-US"/>
        </w:rPr>
        <w:t xml:space="preserve"> del nuovo ciclo di servizio. </w:t>
      </w:r>
    </w:p>
    <w:p w14:paraId="69802E5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Gli obiettivi di cui sopra saranno raggiunti organizzando le attività nelle seguenti fasi: </w:t>
      </w:r>
    </w:p>
    <w:p w14:paraId="757F85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programmazione del passaggio di consegne: </w:t>
      </w:r>
    </w:p>
    <w:p w14:paraId="383E841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predisposizione e raccolta della documentazione per il passaggio di consegne (procedure, report, strumenti, ecc…); </w:t>
      </w:r>
    </w:p>
    <w:p w14:paraId="515D368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riunione preparatoria con la Fondazione; </w:t>
      </w:r>
    </w:p>
    <w:p w14:paraId="00009A6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pianificazione incontri di passaggio delle consegne; </w:t>
      </w:r>
    </w:p>
    <w:p w14:paraId="32311DD7"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migrazione dei dati nel formato richiesto dalla Fondazione; </w:t>
      </w:r>
    </w:p>
    <w:p w14:paraId="21529D9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affiancamento: </w:t>
      </w:r>
    </w:p>
    <w:p w14:paraId="7973B0D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consegna della documentazione per il passaggio di consegne; </w:t>
      </w:r>
    </w:p>
    <w:p w14:paraId="66544142"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effettuazione degli incontri finalizzati al passaggio delle consegne; </w:t>
      </w:r>
    </w:p>
    <w:p w14:paraId="4958654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training on the job (affiancamento) del personale subentrante per consentire la prosecuzione dei servizi senza significativi decadimenti di qualità. </w:t>
      </w:r>
    </w:p>
    <w:p w14:paraId="49163FEA" w14:textId="759EE06D" w:rsidR="00180C7D" w:rsidRDefault="00180C7D">
      <w:pPr>
        <w:spacing w:after="0" w:line="240" w:lineRule="auto"/>
        <w:ind w:left="0" w:hanging="2"/>
        <w:rPr>
          <w:rFonts w:ascii="Calibri" w:hAnsi="Calibri" w:cs="Calibri"/>
          <w:color w:val="000000"/>
          <w:sz w:val="22"/>
          <w:szCs w:val="22"/>
        </w:rPr>
      </w:pPr>
    </w:p>
    <w:p w14:paraId="73D1BF76"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Il Direttore f.f.</w:t>
      </w:r>
    </w:p>
    <w:p w14:paraId="50AB1298"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w:t>
      </w:r>
      <w:r>
        <w:rPr>
          <w:rFonts w:ascii="Calibri" w:hAnsi="Calibri" w:cs="Arial"/>
          <w:sz w:val="22"/>
          <w:szCs w:val="22"/>
        </w:rPr>
        <w:t xml:space="preserve">                              S</w:t>
      </w:r>
      <w:r w:rsidRPr="00D5069F">
        <w:rPr>
          <w:rFonts w:ascii="Calibri" w:hAnsi="Calibri" w:cs="Arial"/>
          <w:sz w:val="22"/>
          <w:szCs w:val="22"/>
        </w:rPr>
        <w:t xml:space="preserve">C Sistemi Informativi </w:t>
      </w:r>
    </w:p>
    <w:p w14:paraId="365E4928" w14:textId="68AC91EA" w:rsidR="00F055B7" w:rsidRDefault="00F055B7" w:rsidP="00180C7D">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                                                                                            (Dott. Angelo Luigi Caroli)</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FFF6" w14:textId="77777777" w:rsidR="0026322B" w:rsidRDefault="0026322B">
      <w:pPr>
        <w:spacing w:after="0" w:line="240" w:lineRule="auto"/>
        <w:ind w:left="0" w:hanging="2"/>
      </w:pPr>
      <w:r>
        <w:separator/>
      </w:r>
    </w:p>
  </w:endnote>
  <w:endnote w:type="continuationSeparator" w:id="0">
    <w:p w14:paraId="2B021ACE" w14:textId="77777777" w:rsidR="0026322B" w:rsidRDefault="002632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0F2456">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35pt;height:61.6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0F2456">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35pt;height:61.6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953B" w14:textId="77777777" w:rsidR="0026322B" w:rsidRDefault="0026322B">
      <w:pPr>
        <w:spacing w:after="0" w:line="240" w:lineRule="auto"/>
        <w:ind w:left="0" w:hanging="2"/>
      </w:pPr>
      <w:r>
        <w:separator/>
      </w:r>
    </w:p>
  </w:footnote>
  <w:footnote w:type="continuationSeparator" w:id="0">
    <w:p w14:paraId="2A4EF349" w14:textId="77777777" w:rsidR="0026322B" w:rsidRDefault="002632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0F2456">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0F2456">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0F2456">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77777777"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 xml:space="preserve">- </w:t>
    </w:r>
    <w:r>
      <w:rPr>
        <w:rFonts w:ascii="Century Gothic" w:hAnsi="Century Gothic" w:cs="Century Gothic"/>
        <w:sz w:val="18"/>
        <w:szCs w:val="18"/>
      </w:rPr>
      <w:t>Direttore f.f.</w:t>
    </w:r>
    <w:r>
      <w:rPr>
        <w:rFonts w:ascii="Century Gothic" w:hAnsi="Century Gothic" w:cs="Century Gothic"/>
        <w:color w:val="000000"/>
        <w:sz w:val="18"/>
        <w:szCs w:val="18"/>
      </w:rPr>
      <w:t>: Dott. Angelo Luigi Caroli</w:t>
    </w:r>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pec: </w:t>
    </w:r>
    <w:r w:rsidR="000F2456">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0F2456"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EA1"/>
    <w:multiLevelType w:val="hybridMultilevel"/>
    <w:tmpl w:val="BC72D3A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9713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41701"/>
    <w:rsid w:val="000E193D"/>
    <w:rsid w:val="000F2456"/>
    <w:rsid w:val="00180C7D"/>
    <w:rsid w:val="001A554A"/>
    <w:rsid w:val="0026322B"/>
    <w:rsid w:val="002B7C28"/>
    <w:rsid w:val="00331078"/>
    <w:rsid w:val="003815E0"/>
    <w:rsid w:val="00450EC5"/>
    <w:rsid w:val="004548A5"/>
    <w:rsid w:val="00526909"/>
    <w:rsid w:val="00531010"/>
    <w:rsid w:val="00594E60"/>
    <w:rsid w:val="005C566D"/>
    <w:rsid w:val="00605931"/>
    <w:rsid w:val="00644808"/>
    <w:rsid w:val="007A0413"/>
    <w:rsid w:val="008005B0"/>
    <w:rsid w:val="008D0354"/>
    <w:rsid w:val="009C7D82"/>
    <w:rsid w:val="00A504C3"/>
    <w:rsid w:val="00A56956"/>
    <w:rsid w:val="00A61BAD"/>
    <w:rsid w:val="00AC17BA"/>
    <w:rsid w:val="00B76388"/>
    <w:rsid w:val="00BE57D8"/>
    <w:rsid w:val="00C63649"/>
    <w:rsid w:val="00CD65FF"/>
    <w:rsid w:val="00CE73E8"/>
    <w:rsid w:val="00D5069F"/>
    <w:rsid w:val="00E71472"/>
    <w:rsid w:val="00F055B7"/>
    <w:rsid w:val="00F1397B"/>
    <w:rsid w:val="00F44B12"/>
    <w:rsid w:val="00F54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1029</Words>
  <Characters>5870</Characters>
  <Application>Microsoft Office Word</Application>
  <DocSecurity>0</DocSecurity>
  <Lines>48</Lines>
  <Paragraphs>13</Paragraphs>
  <ScaleCrop>false</ScaleCrop>
  <Company>Fond. IRCCS Ca'Granda Osped. Magg. Policlinico</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6</cp:revision>
  <cp:lastPrinted>2023-02-13T09:02:00Z</cp:lastPrinted>
  <dcterms:created xsi:type="dcterms:W3CDTF">2023-02-07T09:19:00Z</dcterms:created>
  <dcterms:modified xsi:type="dcterms:W3CDTF">2023-03-10T15:13:00Z</dcterms:modified>
</cp:coreProperties>
</file>